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
          <w:szCs w:val="21"/>
        </w:rPr>
      </w:pPr>
      <w:r>
        <w:rPr>
          <w:rFonts w:hint="eastAsia" w:ascii="黑体" w:hAnsi="黑体" w:eastAsia="黑体"/>
          <w:b/>
          <w:szCs w:val="21"/>
        </w:rPr>
        <w:t>一、判断题</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szCs w:val="21"/>
        </w:rPr>
        <w:t>依据《国内海洋渔船法定检验技术规则（2019）》，船舶总长系指船舶最前端至最后端之间包括外板和两端永久性固定突出物在内的水平距离。</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szCs w:val="21"/>
        </w:rPr>
        <w:t>依据《国内海洋渔船法定检验技术规则（2019）》，型深系指由龙骨线量至干舷甲板舷侧处横梁上缘的垂向距离。除另有明文规定外，一般是指船中处的型深。</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szCs w:val="21"/>
        </w:rPr>
        <w:t>依据《国内海洋渔船法定检验技术规则（2019）》，在干舷甲板上，由一舷伸至另一舷的或侧壁距船侧小于或等于0.04B的围壁结构为上层建筑，即艏楼、桥楼、艉楼；其他的围壁结构为甲板室。</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szCs w:val="21"/>
        </w:rPr>
        <w:t>依据《国内海洋渔船法定检验技术规则（2019）》，12m</w:t>
      </w:r>
      <w:r>
        <w:rPr>
          <w:rFonts w:hint="eastAsia" w:ascii="宋体" w:hAnsi="宋体" w:eastAsia="宋体" w:cs="宋体"/>
          <w:szCs w:val="21"/>
        </w:rPr>
        <w:t>≤</w:t>
      </w:r>
      <w:r>
        <w:rPr>
          <w:i/>
          <w:szCs w:val="21"/>
        </w:rPr>
        <w:t>L</w:t>
      </w:r>
      <w:r>
        <w:rPr>
          <w:rFonts w:hint="eastAsia"/>
          <w:szCs w:val="21"/>
          <w:u w:val="none"/>
        </w:rPr>
        <w:t>&lt;</w:t>
      </w:r>
      <w:r>
        <w:rPr>
          <w:szCs w:val="21"/>
        </w:rPr>
        <w:t>24m的渔船防撞舱壁距艏垂线的距离应大于或等于1.2m。</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szCs w:val="21"/>
        </w:rPr>
        <w:t>依据《国内海洋渔船法定检验技术规则（2019）》，渔船如因航区、装载等发生变化，应重新勘划载重线。</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szCs w:val="21"/>
        </w:rPr>
        <w:t>依据《国内海洋渔船法定检验技术规则（2019）》</w:t>
      </w:r>
      <w:r>
        <w:rPr>
          <w:rFonts w:hint="eastAsia"/>
          <w:szCs w:val="21"/>
        </w:rPr>
        <w:t>，</w:t>
      </w:r>
      <w:r>
        <w:rPr>
          <w:szCs w:val="21"/>
        </w:rPr>
        <w:t>水尺标志应勘划在两舷的艏、艉垂线处。此艏、艉垂线系指型线图设计的艏、艉垂线。</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highlight w:val="none"/>
        </w:rPr>
      </w:pPr>
      <w:r>
        <w:rPr>
          <w:szCs w:val="21"/>
          <w:highlight w:val="none"/>
        </w:rPr>
        <w:t>依据《国内海洋渔船法定检验技术规则（2019）》，</w:t>
      </w:r>
      <w:r>
        <w:rPr>
          <w:rFonts w:hint="eastAsia"/>
          <w:szCs w:val="21"/>
          <w:highlight w:val="none"/>
        </w:rPr>
        <w:t>船舶两舷应设置舷墙或栏杆，船员经常活动和工作的场所，也应设计有效的防护及防滑设施。对设置栏杆有困难的船舶，应尽可能设有风暴扶手。</w:t>
      </w:r>
    </w:p>
    <w:p>
      <w:pPr>
        <w:rPr>
          <w:szCs w:val="21"/>
          <w:highlight w:val="yellow"/>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szCs w:val="21"/>
        </w:rPr>
        <w:t>依据《国内海洋渔船法定检验技术规则（2019）》，船长大于或等于12m但小于20m的机动船，其桅灯安置在舷边以上的高度应大于或等于2.5m。</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szCs w:val="21"/>
        </w:rPr>
        <w:t>依据《国内海洋渔船法定检验技术规则（2019）》，机动船的舷灯安置在船体以上的高度，应不超过前桅灯高度的3/5。</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szCs w:val="21"/>
        </w:rPr>
        <w:t>依据《国内海洋渔船法定检验技术规则（2019）》，总长小于20m的机动船的舷灯，如并为一盏，则应安置在低于桅灯大于或等于1m处。</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szCs w:val="21"/>
        </w:rPr>
        <w:t>依据《国内海洋小型渔船法定检验技术规则（2019）》，桅灯或替代桅灯和艉灯的环照灯安装在船体以上的高度可以小于2.5m，但至少应高于舷灯0.8m。</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highlight w:val="none"/>
        </w:rPr>
      </w:pPr>
      <w:r>
        <w:rPr>
          <w:szCs w:val="21"/>
          <w:highlight w:val="none"/>
        </w:rPr>
        <w:t>因《1966年国际船舶载重线公约》不适用于船长小于24m的渔船，所以</w:t>
      </w:r>
      <w:r>
        <w:rPr>
          <w:szCs w:val="21"/>
        </w:rPr>
        <w:t>依据《国内海洋渔船法定检验技术规则（2019）》，</w:t>
      </w:r>
      <w:r>
        <w:rPr>
          <w:szCs w:val="21"/>
          <w:highlight w:val="none"/>
        </w:rPr>
        <w:t>船长小于24m的</w:t>
      </w:r>
      <w:r>
        <w:rPr>
          <w:rFonts w:hint="eastAsia"/>
          <w:szCs w:val="21"/>
          <w:highlight w:val="none"/>
          <w:lang w:val="en-US" w:eastAsia="zh-CN"/>
        </w:rPr>
        <w:t>国内</w:t>
      </w:r>
      <w:r>
        <w:rPr>
          <w:szCs w:val="21"/>
          <w:highlight w:val="none"/>
        </w:rPr>
        <w:t>渔船可不要求核定干舷并勘划载重线标志。</w:t>
      </w:r>
    </w:p>
    <w:p>
      <w:pPr>
        <w:rPr>
          <w:szCs w:val="21"/>
          <w:highlight w:val="none"/>
        </w:rPr>
      </w:pPr>
      <w:r>
        <w:rPr>
          <w:rFonts w:hint="eastAsia"/>
          <w:szCs w:val="21"/>
          <w:highlight w:val="none"/>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szCs w:val="21"/>
        </w:rPr>
        <w:t>依据《国内海洋渔船法定检验技术规则（2019）》，渔船系指从事捕捞鱼类或其他水生生物资源的船舶。</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szCs w:val="21"/>
        </w:rPr>
        <w:t>依据《国内海洋渔船法定检验技术规则（2019）》，核定的干舷系指在船中处从干舷甲板线的上边缘向下量至相关载重线线段的上边缘的垂直距离。</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szCs w:val="21"/>
        </w:rPr>
        <w:t>依据《国内海洋渔船法定检验技术规则（2019）》，</w:t>
      </w:r>
      <w:r>
        <w:rPr>
          <w:rFonts w:hint="eastAsia"/>
          <w:szCs w:val="21"/>
        </w:rPr>
        <w:t>载重线所有标志应清晰、永久地勘划在船中处船舷两侧的船壳板上。</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szCs w:val="21"/>
        </w:rPr>
        <w:t>依据《国内海洋渔船法定检验技术规则（2019）》，在干舷甲板以下的防撞舱壁上不得设门、人孔、通风导管或其他任何开口。</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szCs w:val="21"/>
        </w:rPr>
        <w:t>依据《国内海洋渔船法定检验技术规则（2019）》，在干舷甲板以上的防撞舱壁上不得设门、人孔、通风导管或其他任何开口。</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szCs w:val="21"/>
        </w:rPr>
        <w:t>依据《国内海洋渔船法定检验技术规则（2019）》，若设置双层底时，其内底应尽可能延伸至船舷两侧。</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szCs w:val="21"/>
        </w:rPr>
        <w:t>依据《国内海洋渔船法定检验技术规则（2019）》，龙骨线至双层底内底板的垂向高度应大于或等于860mm。</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szCs w:val="21"/>
        </w:rPr>
        <w:t>依据《国内海洋小型渔船法定检验技术规则（2019）》，7m</w:t>
      </w:r>
      <w:r>
        <w:rPr>
          <w:rFonts w:hint="eastAsia" w:ascii="宋体" w:hAnsi="宋体" w:eastAsia="宋体" w:cs="宋体"/>
          <w:szCs w:val="21"/>
        </w:rPr>
        <w:t>≤</w:t>
      </w:r>
      <w:r>
        <w:rPr>
          <w:i/>
          <w:szCs w:val="21"/>
        </w:rPr>
        <w:t>L</w:t>
      </w:r>
      <w:r>
        <w:rPr>
          <w:szCs w:val="21"/>
        </w:rPr>
        <w:t>＜10m的船舶，甲板的厚度应不小于4mm。</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szCs w:val="21"/>
        </w:rPr>
        <w:t>依据《国内海洋小型渔船法定检验技术规则（2019）》，10m</w:t>
      </w:r>
      <w:r>
        <w:rPr>
          <w:rFonts w:hint="eastAsia" w:ascii="宋体" w:hAnsi="宋体" w:eastAsia="宋体" w:cs="宋体"/>
          <w:szCs w:val="21"/>
        </w:rPr>
        <w:t>≤</w:t>
      </w:r>
      <w:r>
        <w:rPr>
          <w:i/>
          <w:szCs w:val="21"/>
        </w:rPr>
        <w:t>L</w:t>
      </w:r>
      <w:r>
        <w:rPr>
          <w:szCs w:val="21"/>
        </w:rPr>
        <w:t>＜12m的船舶，船底板的厚度应不小于4mm。</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highlight w:val="none"/>
        </w:rPr>
      </w:pPr>
      <w:bookmarkStart w:id="0" w:name="_Hlk142039196"/>
      <w:r>
        <w:rPr>
          <w:szCs w:val="21"/>
          <w:highlight w:val="none"/>
        </w:rPr>
        <w:t>依据《钢质国内海洋渔船建造规范（船长大于或等于12m但小于24m）（2019）》</w:t>
      </w:r>
      <w:r>
        <w:rPr>
          <w:rFonts w:hint="eastAsia"/>
          <w:szCs w:val="21"/>
          <w:highlight w:val="none"/>
        </w:rPr>
        <w:t>，</w:t>
      </w:r>
      <w:bookmarkEnd w:id="0"/>
      <w:r>
        <w:rPr>
          <w:szCs w:val="21"/>
          <w:highlight w:val="none"/>
        </w:rPr>
        <w:t>渔船燃油舱与</w:t>
      </w:r>
      <w:r>
        <w:rPr>
          <w:rFonts w:hint="eastAsia"/>
          <w:szCs w:val="21"/>
          <w:highlight w:val="none"/>
          <w:lang w:val="en-US" w:eastAsia="zh-CN"/>
        </w:rPr>
        <w:t>淡水</w:t>
      </w:r>
      <w:r>
        <w:rPr>
          <w:szCs w:val="21"/>
          <w:highlight w:val="none"/>
        </w:rPr>
        <w:t>舱之间应设隔离舱。</w:t>
      </w:r>
    </w:p>
    <w:p>
      <w:pPr>
        <w:rPr>
          <w:szCs w:val="21"/>
          <w:highlight w:val="none"/>
        </w:rPr>
      </w:pPr>
      <w:r>
        <w:rPr>
          <w:rFonts w:hint="eastAsia"/>
          <w:szCs w:val="21"/>
          <w:highlight w:val="none"/>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依据《钢质国内海洋渔船建造规范（船长大于或等于12m但小于24m）（2019）》，</w:t>
      </w:r>
      <w:r>
        <w:rPr>
          <w:szCs w:val="21"/>
        </w:rPr>
        <w:t>如油舱与鱼舱之间设不小于40mm的空隙层，可免设隔离舱。</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bookmarkStart w:id="1" w:name="_Hlk142039396"/>
      <w:r>
        <w:rPr>
          <w:rFonts w:hint="eastAsia"/>
          <w:szCs w:val="21"/>
        </w:rPr>
        <w:t>依据《钢质国内海洋渔船建造规范（船长大于或等于12m但小于24m）（2019）》，</w:t>
      </w:r>
      <w:bookmarkEnd w:id="1"/>
      <w:r>
        <w:rPr>
          <w:szCs w:val="21"/>
        </w:rPr>
        <w:t>渔船甲板上舷墙板的厚度，应不小于4mm。</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szCs w:val="21"/>
        </w:rPr>
        <w:t>依据《国内海洋渔船法定检验技术规则（2019）》，渔船的辅操舵装置应能在紧急时迅速投入工作且能在船舶最大吃水和以最大营运前进航速的一半或7kn</w:t>
      </w:r>
      <w:r>
        <w:rPr>
          <w:rFonts w:hint="eastAsia" w:ascii="宋体" w:hAnsi="宋体" w:cs="宋体"/>
          <w:szCs w:val="21"/>
          <w:lang w:eastAsia="zh-CN"/>
        </w:rPr>
        <w:t>（</w:t>
      </w:r>
      <w:r>
        <w:rPr>
          <w:szCs w:val="21"/>
        </w:rPr>
        <w:t>取大者</w:t>
      </w:r>
      <w:r>
        <w:rPr>
          <w:rFonts w:hint="eastAsia" w:ascii="宋体" w:hAnsi="宋体" w:cs="宋体"/>
          <w:szCs w:val="21"/>
          <w:lang w:eastAsia="zh-CN"/>
        </w:rPr>
        <w:t>）</w:t>
      </w:r>
      <w:r>
        <w:rPr>
          <w:szCs w:val="21"/>
        </w:rPr>
        <w:t>前进时，在60s内将舵自一舷35°转至另一舷35°。</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szCs w:val="21"/>
        </w:rPr>
        <w:t>依据《国内海洋渔船法定检验技术规则（2019）》，主操舵装置应能在使船舶处于最大允许作业吃水并以最大营运航速前进时，在28s内使舵自</w:t>
      </w:r>
      <w:r>
        <w:rPr>
          <w:rFonts w:hint="default"/>
          <w:szCs w:val="21"/>
          <w:lang w:val="en-US" w:eastAsia="zh-CN"/>
        </w:rPr>
        <w:t>任意</w:t>
      </w:r>
      <w:r>
        <w:rPr>
          <w:szCs w:val="21"/>
        </w:rPr>
        <w:t>一舷35°转至另一舷35°。</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依据《钢质国内海洋渔船建造规范（船长大于或等于12m但小于24m）（2019）》，</w:t>
      </w:r>
      <w:r>
        <w:rPr>
          <w:szCs w:val="21"/>
        </w:rPr>
        <w:t>钢质海洋渔船舷侧外板的厚度可小于船底板的厚度。</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依据《钢质国内海洋渔船建造规范（船长大于或等于12m但小于24m）（2019）》，</w:t>
      </w:r>
      <w:r>
        <w:rPr>
          <w:szCs w:val="21"/>
        </w:rPr>
        <w:t>锚链在连接锚的一端应装设一个转环。</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依据《钢质国内海洋渔船建造规范（船长大于或等于12m但小于24m）（2019）》，</w:t>
      </w:r>
      <w:r>
        <w:rPr>
          <w:szCs w:val="21"/>
        </w:rPr>
        <w:t>如果在鱼舱内铺设木铺板，其厚度应不小于40mm。</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依据《钢质国内海洋渔船建造规范（船长大于或等于12m但小于24m）（2019）》，</w:t>
      </w:r>
      <w:r>
        <w:rPr>
          <w:szCs w:val="21"/>
        </w:rPr>
        <w:t>鱼舱内活动隔板的布置应从舱底尽可能延伸到甲板。</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bookmarkStart w:id="2" w:name="_Hlk142039678"/>
      <w:r>
        <w:rPr>
          <w:rFonts w:hint="eastAsia"/>
          <w:szCs w:val="21"/>
        </w:rPr>
        <w:t>依据《钢质国内海洋渔船建造规范（船长大于或等于12m但小于24m）（2019）》，</w:t>
      </w:r>
      <w:bookmarkEnd w:id="2"/>
      <w:r>
        <w:rPr>
          <w:szCs w:val="21"/>
        </w:rPr>
        <w:t>直接位于起居处所、服务处所以下的舱室，一般不得用以贮存液体燃料。</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依据《钢质国内海洋渔船建造规范（船长大于或等于12m但小于24m）（2019）》，</w:t>
      </w:r>
      <w:r>
        <w:rPr>
          <w:szCs w:val="21"/>
        </w:rPr>
        <w:t>在营运中腐蚀和磨耗特别严重的部分构件，应另行考虑适当增厚或采取其他有效防护措施。</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bookmarkStart w:id="3" w:name="_Hlk142043244"/>
      <w:r>
        <w:rPr>
          <w:rFonts w:hint="eastAsia"/>
          <w:szCs w:val="21"/>
        </w:rPr>
        <w:t>依据《钢质国内海洋渔船建造规范（船长大于或等于12m但小于24m）（2019）》，</w:t>
      </w:r>
      <w:bookmarkEnd w:id="3"/>
      <w:r>
        <w:rPr>
          <w:szCs w:val="21"/>
        </w:rPr>
        <w:t>平板龙骨的展开宽度应尽可能在整个船长范围内保持不变。</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szCs w:val="21"/>
        </w:rPr>
        <w:t>依据《国内海洋渔船法定检验技术规则（2019）》，新建船舶应在完工时进行倾斜试验。船长小于24m的船舶，若倾斜试验有困难时，可进行摇摆试验，以测定空船的横摇固有周期。</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szCs w:val="21"/>
        </w:rPr>
        <w:t>依据《国内海洋渔船法定检验技术规则（2019）》，最小倾复力臂应用计及船舶横摇影响后的动稳性曲线来确定。</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依据《国内海洋渔船法定检验技术规则（2019）》，</w:t>
      </w:r>
      <w:r>
        <w:rPr>
          <w:szCs w:val="21"/>
        </w:rPr>
        <w:t>排水舷口的下缘应尽可能接近甲板。</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bookmarkStart w:id="4" w:name="_Hlk142039987"/>
      <w:r>
        <w:rPr>
          <w:szCs w:val="21"/>
        </w:rPr>
        <w:t>依据《国内海洋渔船法定检验技术规则（2019）》，</w:t>
      </w:r>
      <w:bookmarkEnd w:id="4"/>
      <w:r>
        <w:rPr>
          <w:szCs w:val="21"/>
        </w:rPr>
        <w:t>通往露天处所的风雨密门均应向外侧开启。</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bookmarkStart w:id="5" w:name="_Hlk142039977"/>
      <w:r>
        <w:rPr>
          <w:rFonts w:hint="eastAsia"/>
          <w:szCs w:val="21"/>
        </w:rPr>
        <w:t>依据《国内海洋渔船法定检验技术规则（2019）》，</w:t>
      </w:r>
      <w:r>
        <w:rPr>
          <w:szCs w:val="21"/>
        </w:rPr>
        <w:t>舷窗</w:t>
      </w:r>
      <w:bookmarkEnd w:id="5"/>
      <w:r>
        <w:rPr>
          <w:szCs w:val="21"/>
        </w:rPr>
        <w:t>系指面积不超过0.16m</w:t>
      </w:r>
      <w:r>
        <w:rPr>
          <w:szCs w:val="21"/>
          <w:vertAlign w:val="superscript"/>
        </w:rPr>
        <w:t>2</w:t>
      </w:r>
      <w:r>
        <w:rPr>
          <w:szCs w:val="21"/>
        </w:rPr>
        <w:t>的圆形或椭圆形开口。</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szCs w:val="21"/>
        </w:rPr>
        <w:t>依据《国内海洋渔船法定检验技术规则（2019）》，舷窗和窗应具有坚固的结构，不允许采用非金属框架。</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szCs w:val="21"/>
        </w:rPr>
        <w:t>依据《国内海洋渔船法定检验技术规则（2019）》，任何舷窗的设置，其下缘不得低于最深作业水线以上600mm处。</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bookmarkStart w:id="6" w:name="_Hlk142040108"/>
      <w:r>
        <w:rPr>
          <w:szCs w:val="21"/>
        </w:rPr>
        <w:t>依据《国内海洋渔船法定检验技术规则（2019）》，</w:t>
      </w:r>
      <w:bookmarkEnd w:id="6"/>
      <w:r>
        <w:rPr>
          <w:szCs w:val="21"/>
        </w:rPr>
        <w:t>安装在最深作业水线以上500mm内舷窗应为非开启型。</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iCs/>
          <w:szCs w:val="21"/>
        </w:rPr>
        <w:t>依据《国内海洋渔船法定检验技术规则（2019）》，</w:t>
      </w:r>
      <w:r>
        <w:rPr>
          <w:i/>
          <w:szCs w:val="21"/>
        </w:rPr>
        <w:t>L</w:t>
      </w:r>
      <w:r>
        <w:rPr>
          <w:szCs w:val="21"/>
        </w:rPr>
        <w:t>＜45m的国</w:t>
      </w:r>
      <w:r>
        <w:rPr>
          <w:rFonts w:hint="eastAsia"/>
          <w:szCs w:val="21"/>
          <w:lang w:val="en-US" w:eastAsia="zh-CN"/>
        </w:rPr>
        <w:t>内</w:t>
      </w:r>
      <w:r>
        <w:rPr>
          <w:szCs w:val="21"/>
        </w:rPr>
        <w:t>渔船配备的气胀式救生筏可采用Y</w:t>
      </w:r>
      <w:r>
        <w:rPr>
          <w:rFonts w:hint="eastAsia"/>
          <w:szCs w:val="21"/>
          <w:lang w:val="en-US" w:eastAsia="zh-CN"/>
        </w:rPr>
        <w:t>J</w:t>
      </w:r>
      <w:r>
        <w:rPr>
          <w:szCs w:val="21"/>
        </w:rPr>
        <w:t>型救生筏。</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依据《国内海洋渔船法定检验技术规则（2019）》，</w:t>
      </w:r>
      <w:r>
        <w:rPr>
          <w:szCs w:val="21"/>
        </w:rPr>
        <w:t>1</w:t>
      </w:r>
      <w:r>
        <w:rPr>
          <w:rFonts w:hint="eastAsia"/>
          <w:szCs w:val="21"/>
          <w:lang w:val="en-US" w:eastAsia="zh-CN"/>
        </w:rPr>
        <w:t>5</w:t>
      </w:r>
      <w:r>
        <w:rPr>
          <w:szCs w:val="21"/>
        </w:rPr>
        <w:t>m</w:t>
      </w:r>
      <w:r>
        <w:rPr>
          <w:rFonts w:hint="eastAsia" w:ascii="宋体" w:hAnsi="宋体" w:eastAsia="宋体" w:cs="宋体"/>
          <w:szCs w:val="21"/>
        </w:rPr>
        <w:t>≤</w:t>
      </w:r>
      <w:r>
        <w:rPr>
          <w:i/>
          <w:szCs w:val="21"/>
        </w:rPr>
        <w:t>L</w:t>
      </w:r>
      <w:r>
        <w:rPr>
          <w:szCs w:val="21"/>
        </w:rPr>
        <w:t>＜45m的国内海洋渔船配备的气胀式救生筏可采用Y型救生筏。</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szCs w:val="21"/>
        </w:rPr>
        <w:t>依据《国内海洋渔船法定检验技术规则（2019）》，配有救生浮索的救生圈不得配自亮浮灯。</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szCs w:val="21"/>
        </w:rPr>
        <w:t>依据《国内海洋小型渔船法定检验技术规则（2019）》，航行作业于沿海航区的船舶，至少应配备2支降落伞火箭信号。</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szCs w:val="21"/>
        </w:rPr>
        <w:t>依据《国内海洋渔船法定检验技术规则（2019）》，每件救生衣应配备1盏灯。</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依据《国内海洋渔船法定检验技术规则（2019）》，</w:t>
      </w:r>
      <w:r>
        <w:rPr>
          <w:szCs w:val="21"/>
        </w:rPr>
        <w:t>应至少在主机处所的前、后端设置水密舱壁，并设置防撞舱壁。</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bookmarkStart w:id="7" w:name="_Hlk142041186"/>
      <w:r>
        <w:rPr>
          <w:szCs w:val="21"/>
        </w:rPr>
        <w:t>依据《国内海洋渔船法定检验技术规则（2019）》</w:t>
      </w:r>
      <w:bookmarkEnd w:id="7"/>
      <w:r>
        <w:rPr>
          <w:szCs w:val="21"/>
        </w:rPr>
        <w:t>，配有自发烟雾信号的救生圈应能从干舷甲板迅速抛投。</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szCs w:val="21"/>
        </w:rPr>
        <w:t>依据《国内海洋渔船法定检验技术规则（2019）》，救生圈所配可浮救生索，其长度应大于或等于其在最轻载水线之上存放高度的两倍或30m，取其大者。</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szCs w:val="21"/>
        </w:rPr>
        <w:t>依据《国内海洋渔船法定检验技术规则（2019）》</w:t>
      </w:r>
      <w:bookmarkStart w:id="8" w:name="_Hlk142041603"/>
      <w:r>
        <w:rPr>
          <w:szCs w:val="21"/>
        </w:rPr>
        <w:t>，</w:t>
      </w:r>
      <w:bookmarkEnd w:id="8"/>
      <w:r>
        <w:rPr>
          <w:szCs w:val="21"/>
        </w:rPr>
        <w:t>12m</w:t>
      </w:r>
      <w:r>
        <w:rPr>
          <w:rFonts w:hint="eastAsia" w:ascii="宋体" w:hAnsi="宋体" w:eastAsia="宋体" w:cs="宋体"/>
          <w:kern w:val="2"/>
          <w:sz w:val="21"/>
          <w:szCs w:val="21"/>
          <w:lang w:val="en-US" w:eastAsia="zh-CN" w:bidi="ar-SA"/>
        </w:rPr>
        <w:t>≤</w:t>
      </w:r>
      <w:r>
        <w:rPr>
          <w:szCs w:val="21"/>
        </w:rPr>
        <w:t>L＜24m的渔船应每舷各配备1只带救生浮索的救生圈。</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依据《国内海洋小型渔船法定检验技术规则（2019）》，</w:t>
      </w:r>
      <w:r>
        <w:rPr>
          <w:szCs w:val="21"/>
        </w:rPr>
        <w:t>总长小于12m的国内海洋渔船的桅灯最小能见距离为2n mile。</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szCs w:val="21"/>
        </w:rPr>
        <w:t>依据《国内海洋渔船法定检验技术规则（2019）》，总长大于或等于12m但小于20m的机动船，其桅灯安置在舷边以上的高度应大于或等于2.5m。</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szCs w:val="21"/>
        </w:rPr>
        <w:t>依据</w:t>
      </w:r>
      <w:r>
        <w:rPr>
          <w:rFonts w:hint="eastAsia"/>
          <w:szCs w:val="21"/>
        </w:rPr>
        <w:t>《国内海洋小型渔船法定检验技术规则（2019）》</w:t>
      </w:r>
      <w:r>
        <w:rPr>
          <w:szCs w:val="21"/>
        </w:rPr>
        <w:t>，对夜间不航行、作业的船舶可免除锚灯以外的号灯。</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szCs w:val="21"/>
        </w:rPr>
        <w:t>依据《国内海洋小型渔船法定检验技术规则（2019）》，每具CO</w:t>
      </w:r>
      <w:r>
        <w:rPr>
          <w:szCs w:val="21"/>
          <w:vertAlign w:val="subscript"/>
        </w:rPr>
        <w:t>2</w:t>
      </w:r>
      <w:r>
        <w:rPr>
          <w:szCs w:val="21"/>
        </w:rPr>
        <w:t>灭火器的最小容量应不小于2kg，每具干粉灭火器的最小容量应不小于4kg，而每具泡沫灭火器至少具有9L的容量。</w:t>
      </w:r>
    </w:p>
    <w:p>
      <w:pPr>
        <w:rPr>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szCs w:val="21"/>
        </w:rPr>
        <w:t>依据《国内海洋渔船法定检验技术规则（2019）》，计算船舶结冰的稳性时，应计及其排水量的变化。冰的重量应视为超载重量。</w:t>
      </w:r>
    </w:p>
    <w:p>
      <w:pPr>
        <w:rPr>
          <w:rFonts w:hint="eastAsia"/>
          <w:szCs w:val="21"/>
        </w:rPr>
      </w:pPr>
      <w:r>
        <w:rPr>
          <w:rFonts w:hint="eastAsia"/>
          <w:szCs w:val="21"/>
        </w:rPr>
        <w:t>答案：√</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渔业船舶船用产品检验管理规定》（农渔检（产）〔2014〕1号），渔船船用产品检验及其监督管理工作遵行安全第一、防止污染、保证质量、高效便民的原则。（√）（渔业船舶产品管理规定2014年1号，第4条）</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 xml:space="preserve">依据《渔业船舶船用产品检验管理规定》（农渔检（产）〔2014〕1号），船用产品装船使用时，渔船检验机构应查验其船用产品证书或产品合格证及检验合格章、检验标识或防伪标识，无渔船船用产品证书或产品合格证未加盖检验合格章的，不得装船期使用。（√）（渔业船舶产品管理规定2014年1号，第6条（四）） </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依据《渔业船舶船用产品检验管理规定》（农渔检（产）〔2014〕1号），B类产品是指渔船检验机构认可，并经检验合格后签发产品证书，方可装船使用的产品。（×）</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依据《渔业船舶船用产品检验管理规定》（农渔检（产）〔2014〕1号），空气瓶属于C类产品。（×）（渔业船舶产品管理规定2014年1号，第5条（二））</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渔船配备救生筏在实际应用上采取“老船老办法，新船新办法”原则，对新建渔船必须按新规定要求执行，但对2019年前开工的渔船，符合原规定也满足检验发证要求。（×）（命题依据：《国内海洋渔船法定检验技术规则（2019）》第十篇1.1.1.1）</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依据《国内海洋渔船法定检验技术规则（2019）》，救生衣（100）型号表示该救生衣在海水中提供的浮力应大于或等于 100N。（×）（命题依据：《国内海洋渔船法定检验技术规则（2019）》第十篇1.2.1.2）</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依据《国内海洋渔船法定检验技术规则（2019）》，放在船尾的救生圈均必须同时配备救生浮索及自亮浮灯。（×）（命题依据：《国内海洋渔船法定检验技术规则（2019）》第十篇2.2.1.1）</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应为船上每个人配备1件救生衣。其中远海航区及近海航区必须配备救生衣（150），沿海或遮蔽航区必须配备救生衣（100）。（×）（命题依据：《国内海洋渔船法定检验技术规则（2019）》第十篇2.2.2.2及2.2.2.3）</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每艘渔船配备的救生艇、筏的乘员总定额人数应按照实际船上总人数百分之百比例配备。（×）（命题依据：《国内海洋渔船法定检验技术规则（2019）》第十篇2.1.1）</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依据《国内海洋渔船法定检验技术规则（2019）》，救生衣应存放在容易到达之处，位置要有明显标识。（√）（命题依据：《国内海洋渔船法定检验技术规则（2019）》第十篇2.2.2.6）</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核定的干舷系指在船中处从干舷甲板线的下边缘向下量至相关载重线线段的上边缘的垂直距离。(×)(命题依据：《国内海洋渔船法定检验技术规则（2019）》第三篇1.2.3)</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应用切实可行的办法来勘划载重线标志，木质渔船可免于勘划，但是船体的核定夏季干舷部分和夏季干舷以下浸没部分的油漆颜色应不一致，形成鲜明对比。(√)(命题依据：《国内海洋渔船法定检验技术规则（2019）》第三篇1.3.1.3)</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依据《国内海洋渔船法定检验技术规则（2019）》，空气管高度，在干舷甲板上应至少为900mm。（×)(命题依据：《国内海洋渔船法定检验技术规则（2019）》第三篇2.2.8.2)</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依据《国内海洋渔船法定检验技术规则（2019）》，水尺标志上下勘划的范围应至少低于该处最小吃水 0.2m 和高于该处最大吃水 0.2m。(√)(命题依据：《国内海洋渔船法定检验技术规则（2019）》第三篇4.1.3)</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依据《国内海洋渔船法定检验技术规则（2019）》，现有船舶因改装使稳性变化时，或对营运中船舶稳性发生怀疑时，都应按本规则要求重新核算其稳性。（ × ）（命题依据：《国内海洋渔船法定检验技术规则（2019）》第六篇1.1.1.4）</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依据《国内海洋渔船法定检验技术规则（2019）》，船舶在其所核算的各种装载情况下，稳性衡准数K应符合下式要求：</w:t>
      </w:r>
    </w:p>
    <w:p>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lang w:eastAsia="zh-CN"/>
        </w:rPr>
      </w:pPr>
      <w:r>
        <w:rPr>
          <w:rFonts w:hint="eastAsia" w:ascii="宋体" w:hAnsi="宋体" w:eastAsia="宋体" w:cs="宋体"/>
          <w:snapToGrid w:val="0"/>
          <w:color w:val="auto"/>
          <w:spacing w:val="0"/>
          <w:kern w:val="24"/>
          <w:position w:val="-30"/>
          <w:sz w:val="21"/>
          <w:szCs w:val="21"/>
          <w:highlight w:val="none"/>
        </w:rPr>
        <w:object>
          <v:shape id="_x0000_i1025" o:spt="75" type="#_x0000_t75" style="height:35pt;width:37pt;" o:ole="t" fillcolor="#000011" filled="f" stroked="f" coordsize="21600,21600">
            <v:path/>
            <v:fill on="f" alignshape="1" focussize="0,0"/>
            <v:stroke on="f"/>
            <v:imagedata r:id="rId5" grayscale="f" bilevel="f" o:title=""/>
            <o:lock v:ext="edit" aspectratio="t"/>
            <w10:wrap type="none"/>
            <w10:anchorlock/>
          </v:shape>
          <o:OLEObject Type="Embed" ProgID="Equation.3" ShapeID="_x0000_i1025" DrawAspect="Content" ObjectID="_1468075725" r:id="rId4">
            <o:LockedField>false</o:LockedField>
          </o:OLEObject>
        </w:object>
      </w:r>
      <w:r>
        <w:rPr>
          <w:rFonts w:hint="eastAsia" w:ascii="宋体" w:hAnsi="宋体" w:eastAsia="宋体" w:cs="宋体"/>
          <w:snapToGrid w:val="0"/>
          <w:color w:val="auto"/>
          <w:spacing w:val="0"/>
          <w:kern w:val="24"/>
          <w:sz w:val="21"/>
          <w:szCs w:val="21"/>
          <w:highlight w:val="none"/>
        </w:rPr>
        <w:t>&gt;1</w:t>
      </w:r>
    </w:p>
    <w:p>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rPr>
        <w:t>式中：</w:t>
      </w:r>
      <w:r>
        <w:rPr>
          <w:rFonts w:hint="eastAsia" w:ascii="宋体" w:hAnsi="宋体" w:eastAsia="宋体" w:cs="宋体"/>
          <w:snapToGrid w:val="0"/>
          <w:color w:val="auto"/>
          <w:spacing w:val="0"/>
          <w:kern w:val="24"/>
          <w:position w:val="-12"/>
          <w:sz w:val="21"/>
          <w:szCs w:val="21"/>
          <w:highlight w:val="none"/>
        </w:rPr>
        <w:object>
          <v:shape id="_x0000_i1026" o:spt="75" type="#_x0000_t75" style="height:18pt;width:11pt;" o:ole="t" fillcolor="#000011" filled="f" stroked="f" coordsize="21600,21600">
            <v:path/>
            <v:fill on="f" alignshape="1" focussize="0,0"/>
            <v:stroke on="f"/>
            <v:imagedata r:id="rId7" grayscale="f" bilevel="f" o:title=""/>
            <o:lock v:ext="edit" aspectratio="t"/>
            <w10:wrap type="none"/>
            <w10:anchorlock/>
          </v:shape>
          <o:OLEObject Type="Embed" ProgID="Equation.3" ShapeID="_x0000_i1026" DrawAspect="Content" ObjectID="_1468075726" r:id="rId6">
            <o:LockedField>false</o:LockedField>
          </o:OLEObject>
        </w:object>
      </w:r>
      <w:r>
        <w:rPr>
          <w:rFonts w:hint="eastAsia" w:ascii="宋体" w:hAnsi="宋体" w:eastAsia="宋体" w:cs="宋体"/>
          <w:snapToGrid w:val="0"/>
          <w:color w:val="auto"/>
          <w:spacing w:val="0"/>
          <w:kern w:val="24"/>
          <w:sz w:val="21"/>
          <w:szCs w:val="21"/>
          <w:highlight w:val="none"/>
        </w:rPr>
        <w:t>——最小倾</w:t>
      </w:r>
      <w:r>
        <w:rPr>
          <w:rFonts w:hint="eastAsia" w:ascii="宋体" w:hAnsi="宋体" w:eastAsia="宋体" w:cs="宋体"/>
          <w:snapToGrid w:val="0"/>
          <w:color w:val="auto"/>
          <w:spacing w:val="0"/>
          <w:kern w:val="24"/>
          <w:sz w:val="21"/>
          <w:szCs w:val="21"/>
          <w:highlight w:val="none"/>
          <w:lang w:val="en-US" w:eastAsia="zh-CN"/>
        </w:rPr>
        <w:t>覆</w:t>
      </w:r>
      <w:r>
        <w:rPr>
          <w:rFonts w:hint="eastAsia" w:ascii="宋体" w:hAnsi="宋体" w:eastAsia="宋体" w:cs="宋体"/>
          <w:snapToGrid w:val="0"/>
          <w:color w:val="auto"/>
          <w:spacing w:val="0"/>
          <w:kern w:val="24"/>
          <w:sz w:val="21"/>
          <w:szCs w:val="21"/>
          <w:highlight w:val="none"/>
        </w:rPr>
        <w:t>力臂，m；</w:t>
      </w:r>
      <w:r>
        <w:rPr>
          <w:rFonts w:hint="eastAsia" w:ascii="宋体" w:hAnsi="宋体" w:eastAsia="宋体" w:cs="宋体"/>
          <w:snapToGrid w:val="0"/>
          <w:color w:val="auto"/>
          <w:spacing w:val="0"/>
          <w:kern w:val="24"/>
          <w:sz w:val="21"/>
          <w:szCs w:val="21"/>
          <w:highlight w:val="none"/>
          <w:lang w:val="en-US" w:eastAsia="zh-CN"/>
        </w:rPr>
        <w:t xml:space="preserve"> </w:t>
      </w:r>
    </w:p>
    <w:p>
      <w:pPr>
        <w:pStyle w:val="3"/>
        <w:keepNext w:val="0"/>
        <w:keepLines w:val="0"/>
        <w:pageBreakBefore w:val="0"/>
        <w:widowControl w:val="0"/>
        <w:kinsoku/>
        <w:wordWrap/>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position w:val="-12"/>
          <w:sz w:val="21"/>
          <w:szCs w:val="21"/>
          <w:highlight w:val="none"/>
        </w:rPr>
        <w:object>
          <v:shape id="_x0000_i1027" o:spt="75" type="#_x0000_t75" style="height:18pt;width:11pt;" o:ole="t" fillcolor="#000011" filled="f" stroked="f" coordsize="21600,21600">
            <v:path/>
            <v:fill on="f" alignshape="1" focussize="0,0"/>
            <v:stroke on="f"/>
            <v:imagedata r:id="rId9" grayscale="f" bilevel="f" o:title=""/>
            <o:lock v:ext="edit" aspectratio="t"/>
            <w10:wrap type="none"/>
            <w10:anchorlock/>
          </v:shape>
          <o:OLEObject Type="Embed" ProgID="Equation.3" ShapeID="_x0000_i1027" DrawAspect="Content" ObjectID="_1468075727" r:id="rId8">
            <o:LockedField>false</o:LockedField>
          </o:OLEObject>
        </w:object>
      </w:r>
      <w:r>
        <w:rPr>
          <w:rFonts w:hint="eastAsia" w:ascii="宋体" w:hAnsi="宋体" w:eastAsia="宋体" w:cs="宋体"/>
          <w:snapToGrid w:val="0"/>
          <w:color w:val="auto"/>
          <w:spacing w:val="0"/>
          <w:kern w:val="24"/>
          <w:sz w:val="21"/>
          <w:szCs w:val="21"/>
          <w:highlight w:val="none"/>
        </w:rPr>
        <w:t>——风压倾侧力臂，m。</w:t>
      </w:r>
    </w:p>
    <w:p>
      <w:pPr>
        <w:pStyle w:val="3"/>
        <w:keepNext w:val="0"/>
        <w:keepLines w:val="0"/>
        <w:pageBreakBefore w:val="0"/>
        <w:widowControl w:val="0"/>
        <w:kinsoku/>
        <w:wordWrap/>
        <w:overflowPunct/>
        <w:topLinePunct w:val="0"/>
        <w:autoSpaceDE/>
        <w:autoSpaceDN/>
        <w:bidi w:val="0"/>
        <w:adjustRightInd w:val="0"/>
        <w:snapToGrid w:val="0"/>
        <w:spacing w:line="288" w:lineRule="auto"/>
        <w:ind w:left="0" w:right="0" w:firstLine="420" w:firstLineChars="200"/>
        <w:jc w:val="both"/>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（命题依据：《国内海洋渔船法定检验技术规则（2019）》第六篇2.2.1）</w:t>
      </w:r>
    </w:p>
    <w:p>
      <w:pPr>
        <w:pStyle w:val="3"/>
        <w:keepNext w:val="0"/>
        <w:keepLines w:val="0"/>
        <w:pageBreakBefore w:val="0"/>
        <w:widowControl w:val="0"/>
        <w:kinsoku/>
        <w:wordWrap/>
        <w:overflowPunct/>
        <w:topLinePunct w:val="0"/>
        <w:autoSpaceDE/>
        <w:autoSpaceDN/>
        <w:bidi w:val="0"/>
        <w:adjustRightInd w:val="0"/>
        <w:snapToGrid w:val="0"/>
        <w:spacing w:line="288" w:lineRule="auto"/>
        <w:ind w:left="0" w:right="0" w:firstLine="420" w:firstLineChars="200"/>
        <w:jc w:val="both"/>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eastAsia="zh-CN"/>
        </w:rPr>
        <w:t>（</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b/>
          <w:bCs/>
          <w:snapToGrid w:val="0"/>
          <w:color w:val="auto"/>
          <w:spacing w:val="0"/>
          <w:kern w:val="24"/>
          <w:sz w:val="21"/>
          <w:szCs w:val="21"/>
          <w:highlight w:val="none"/>
          <w:lang w:val="en-US" w:eastAsia="zh-CN"/>
        </w:rPr>
        <w:t>×</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lang w:eastAsia="zh-CN"/>
        </w:rPr>
        <w:t>）</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依据《国内海洋渔船法定检验技术规则（2019）》，计算风力作用力臂Z为在所核算装载情况下船舶正浮时受风面积中心至水线的垂向距离。（ √ ）命题依据：《国内海洋渔船法定检验技术规则（2019）》第六篇2.2.4）</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依据《国内海洋渔船法定检验技术规则（2019）》，凡舱柜内的装载率小于满载状态的98%时，都应考虑自由液面的影响，当舱柜名义上满载，即装载率为98%或以上时，不必考虑自由液面的影响。（ √ ）（命题依据：《国内海洋渔船法定检验技术规则（2019）》第六篇2.4.2）</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依据《国内海洋渔船法定检验技术规则（2019）》，对冬季（12月、1月、2月）航行于青岛（北纬36o04’）以北的船舶，应对其稳性最差的基本装载情况计算结冰的稳性。（ √ ）（命题依据：《国内海洋渔船法定检验技术规则（2019）》第六篇2.8.1）</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吨位丈量规则（2022）》，列入总吨位和净吨位计算中的所有容积，不管是否装有绝缘物或类似绝缘物，对金属结构的船舶应量到船壳板内表面或结构的边界板内表面。（√）（命题依据：《吨位丈量规则（2022）》第二篇1.3.1）。</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吨位丈量规则（2022）》，上甲板系指最高一层露天全通甲板，如船舶具有阶梯形上甲板，则取最低的露天甲板线和其平行于甲板较高部分的延伸线作为上甲板。（√）（命题依据：《吨位丈量规则（2022）》第二篇1.2.1（1））。</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吨位丈量规则（2022）》，围蔽处所系指由船壳、固定的或可移动的隔板或舱壁、甲板或盖板所围成的所有处所，包括永久的或可移动的天篷。（×）（命题依据：《吨位丈量规则（2022）》第二篇1.2.1（6））。</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依据《国内海洋渔船法定检验技术规则（2019）》，对于拉力较大的甲板机械，其底座下的甲板应适当加强。（√）（命题依据：《国内海洋渔船法定检验技术规则（2019）》第五篇1.1.4）。</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载重线标志所有标志应清晰、永久地勘划在船中以前1/4船长处船舷两侧的船壳板上。（×）（命题依据：《国内海洋渔船法定检验技术规则（2019）》第三篇1.3.1.2）</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依据《国内海洋渔船法定检验技术规则（2019）》，水尺标志勘划时，数字应标在横标线一侧，数字底缘与横标线的下缘齐平。（×）（命题依据：《国内海洋渔船法定检验技术规则（2019）》第三篇4.2.1.4）</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核定的干舷系指在船中处从干舷甲板线的上边缘向下量至相关载重线线段的下边缘的垂直距离。从甲板线的上边缘垂直向下量至圆环中心的距离，等于所核定的夏季干舷。（×）（命题依据：《国内海洋渔船法定检验技术规则（2019）》第三篇1.2.3与1.3.3.1）</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依据《国内海洋渔船法定检验技术规则（2019）》，如果阱处的舷弧是标准或大于标准的，干舷甲板上每个阱内在每侧的最小排水舷口面积A应按下述要求进行计算：当船长等于12m但小于24m时，A=0.035</w:t>
      </w:r>
      <w:r>
        <w:rPr>
          <w:rFonts w:hint="eastAsia" w:ascii="宋体" w:hAnsi="宋体" w:eastAsia="宋体" w:cs="宋体"/>
          <w:i/>
          <w:iCs/>
          <w:snapToGrid w:val="0"/>
          <w:color w:val="auto"/>
          <w:spacing w:val="0"/>
          <w:kern w:val="24"/>
          <w:sz w:val="21"/>
          <w:szCs w:val="21"/>
          <w:highlight w:val="none"/>
          <w:lang w:val="en-US" w:eastAsia="zh-CN"/>
        </w:rPr>
        <w:t>l</w:t>
      </w:r>
      <w:r>
        <w:rPr>
          <w:rFonts w:hint="eastAsia" w:ascii="宋体" w:hAnsi="宋体" w:eastAsia="宋体" w:cs="宋体"/>
          <w:snapToGrid w:val="0"/>
          <w:color w:val="auto"/>
          <w:spacing w:val="0"/>
          <w:kern w:val="24"/>
          <w:sz w:val="21"/>
          <w:szCs w:val="21"/>
          <w:highlight w:val="none"/>
          <w:lang w:val="en-US" w:eastAsia="zh-CN"/>
        </w:rPr>
        <w:t xml:space="preserve"> m</w:t>
      </w:r>
      <w:r>
        <w:rPr>
          <w:rFonts w:hint="eastAsia" w:ascii="宋体" w:hAnsi="宋体" w:eastAsia="宋体" w:cs="宋体"/>
          <w:snapToGrid w:val="0"/>
          <w:color w:val="auto"/>
          <w:spacing w:val="0"/>
          <w:kern w:val="24"/>
          <w:sz w:val="21"/>
          <w:szCs w:val="21"/>
          <w:highlight w:val="none"/>
          <w:vertAlign w:val="superscript"/>
          <w:lang w:val="en-US" w:eastAsia="zh-CN"/>
        </w:rPr>
        <w:t>2</w:t>
      </w:r>
      <w:r>
        <w:rPr>
          <w:rFonts w:hint="eastAsia" w:ascii="宋体" w:hAnsi="宋体" w:eastAsia="宋体" w:cs="宋体"/>
          <w:snapToGrid w:val="0"/>
          <w:color w:val="auto"/>
          <w:spacing w:val="0"/>
          <w:kern w:val="24"/>
          <w:sz w:val="21"/>
          <w:szCs w:val="21"/>
          <w:highlight w:val="none"/>
          <w:lang w:val="en-US" w:eastAsia="zh-CN"/>
        </w:rPr>
        <w:t>；当船长大于或等于24m时，A=0.07</w:t>
      </w:r>
      <w:r>
        <w:rPr>
          <w:rFonts w:hint="eastAsia" w:ascii="宋体" w:hAnsi="宋体" w:eastAsia="宋体" w:cs="宋体"/>
          <w:i/>
          <w:iCs/>
          <w:snapToGrid w:val="0"/>
          <w:color w:val="auto"/>
          <w:spacing w:val="0"/>
          <w:kern w:val="24"/>
          <w:sz w:val="21"/>
          <w:szCs w:val="21"/>
          <w:highlight w:val="none"/>
          <w:lang w:val="en-US" w:eastAsia="zh-CN"/>
        </w:rPr>
        <w:t>l</w:t>
      </w:r>
      <w:r>
        <w:rPr>
          <w:rFonts w:hint="eastAsia" w:ascii="宋体" w:hAnsi="宋体" w:eastAsia="宋体" w:cs="宋体"/>
          <w:snapToGrid w:val="0"/>
          <w:color w:val="auto"/>
          <w:spacing w:val="0"/>
          <w:kern w:val="24"/>
          <w:sz w:val="21"/>
          <w:szCs w:val="21"/>
          <w:highlight w:val="none"/>
          <w:lang w:val="en-US" w:eastAsia="zh-CN"/>
        </w:rPr>
        <w:t xml:space="preserve"> m</w:t>
      </w:r>
      <w:r>
        <w:rPr>
          <w:rFonts w:hint="eastAsia" w:ascii="宋体" w:hAnsi="宋体" w:eastAsia="宋体" w:cs="宋体"/>
          <w:snapToGrid w:val="0"/>
          <w:color w:val="auto"/>
          <w:spacing w:val="0"/>
          <w:kern w:val="24"/>
          <w:sz w:val="21"/>
          <w:szCs w:val="21"/>
          <w:highlight w:val="none"/>
          <w:vertAlign w:val="superscript"/>
          <w:lang w:val="en-US" w:eastAsia="zh-CN"/>
        </w:rPr>
        <w:t>2</w:t>
      </w:r>
      <w:r>
        <w:rPr>
          <w:rFonts w:hint="eastAsia" w:ascii="宋体" w:hAnsi="宋体" w:eastAsia="宋体" w:cs="宋体"/>
          <w:snapToGrid w:val="0"/>
          <w:color w:val="auto"/>
          <w:spacing w:val="0"/>
          <w:kern w:val="24"/>
          <w:sz w:val="21"/>
          <w:szCs w:val="21"/>
          <w:highlight w:val="none"/>
          <w:lang w:val="en-US" w:eastAsia="zh-CN"/>
        </w:rPr>
        <w:t>。（√）（命题依据：《国内海洋渔船法定检验技术规则（2019）》第三篇2.3.2.1）</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依据《国内海洋渔船法定检验技术规则（2019）》，渔船艏尖舱在特殊情况下可以适当装载润滑油。（×）（命题依据：《国内海洋渔船法定检验技术规则（2019）》第七篇2.6.12）</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依据《国内海洋渔船法定检验技术规则（2019）》，船长小于30m的船舶，可允许仅设一台动力舱底泵和一台适当排量的手动泵。（×）（命题依据：《国内海洋渔船法定检验技术规则（2019）》第七篇2.8.2.1）</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穿过防撞舱壁的管子，必须设有在干舷甲板以上操作的截止阀，阀的材质应为钢质、青铜或其他经认可的塑性材质，不得采用普通铸铁或类似材质的阀。（√）命题依据：《国内海洋渔船法定检验技术规则（2019）》第七篇2.8.3.5）</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渔船主操舵装置应具有足够的强度和能力使能在船舶以最大营运航速时进行操作，当舵柄处的舵杆直径大于100mm或必要时，主操舵装置应为动力操纵。（×）（命题依据：《国内海洋渔船法定检验技术规则（2019）》第七篇2.11.2.4）</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一艘船长28.70m的近海刺网渔船，至少应设2台动力舱底泵，且每一舱底泵应设有一个直通吸口。（×）（命题依据：《国内海洋渔船法定检验技术规则（2019）》第7篇2.8.2.1和2.8.3.1）</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一艘船长22.70m的沿海渔船，鱼舱应设有舱底水位测量装置或水位报警装置，不必两者兼设。（√）（命题依据：《《国内海洋渔船法定检验技术规则（2019）》第7篇2.8.3.6）</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钢质国内海洋渔船建造规范（船长大于或等于24m但小于或等于90m）》，排气、排烟管的上方不得布置油柜及油管，但是二者之间的横向距离没有要求。（×）（命题依据：《钢质国内海洋渔船建造规范（船长大于或等于24m但小于或等于90m）》第三篇4.9.1.2）</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一艘船长29.50m的近海渔船，驾驶室与机器处所操纵台之间应装备两套独立的通信设备，其中之一应是主机传令钟。（×）（命题依据：《国内海洋渔船法定检验技术规则（2019）》第7篇2.3.1）</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电气装置应能确保主电源失效时，向安全和满足正常生活条件所必需的电气设备供电。（×）（命题依据：《国内海洋渔船法定检验技术规则（2019）》第八篇1.2.2）</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船长小于24m的船舶若以蓄电池组作为主电源，主机启动蓄电池组不可兼作备用主电源。（×）（命题依据：《国内海洋渔船法定检验技术规则（2019）》第八篇2.3）</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应急配电板应尽可能靠近应急电源安装，若应急电源为发电机，则应急配电板与应急发电机安装在同一处所；若应急电源为蓄电池组，则该蓄电池组不应与应急配电板安装在同一处所。（√）（命题依据：《国内海洋渔船法定检验技术规则（2019）》第八篇3.1.6）</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依据《国内海洋渔船法定检验技术规则（2019）》，除驾驶室、救生艇筏存放处的应急照明灯外，在应急照明电路中不应装设就地开关。（×）（命题依据：《国内海洋渔船法定检验技术规则（2019）》第八篇4.3.4）</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依据《国内海洋小型渔船法定检验技术规则（2019）》，航行于沿海航区设有甲板室的小型机动渔船必须配备磁罗经。  （×）</w:t>
      </w:r>
      <w:bookmarkStart w:id="9" w:name="_Hlk141771772"/>
      <w:r>
        <w:rPr>
          <w:rFonts w:hint="eastAsia" w:ascii="宋体" w:hAnsi="宋体" w:eastAsia="宋体" w:cs="宋体"/>
          <w:snapToGrid w:val="0"/>
          <w:color w:val="auto"/>
          <w:spacing w:val="0"/>
          <w:kern w:val="24"/>
          <w:sz w:val="21"/>
          <w:szCs w:val="21"/>
          <w:highlight w:val="none"/>
          <w:lang w:val="en-US" w:eastAsia="zh-CN"/>
        </w:rPr>
        <w:t>（命题依据：《国内海洋小型渔船法定检验技术规则（2019）》第五章第4节5.4.1.1）</w:t>
      </w:r>
    </w:p>
    <w:bookmarkEnd w:id="9"/>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依据《国内海洋小型渔船法定检验技术规则（2019）》，不需要经常操作的航行设备控制器应该放在容易接近的位置上。   （×）（命题依据：《国内海洋渔船法定检验技术规则（2019）》第十一篇第1章1.3.1）</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依据《国内海洋渔船法定检验技术规则（2019）》，渔船雷达装置外壳不需要设有接地装置。（×）</w:t>
      </w:r>
      <w:bookmarkStart w:id="10" w:name="_Hlk141772796"/>
      <w:r>
        <w:rPr>
          <w:rFonts w:hint="eastAsia" w:ascii="宋体" w:hAnsi="宋体" w:eastAsia="宋体" w:cs="宋体"/>
          <w:snapToGrid w:val="0"/>
          <w:color w:val="auto"/>
          <w:spacing w:val="0"/>
          <w:kern w:val="24"/>
          <w:sz w:val="21"/>
          <w:szCs w:val="21"/>
          <w:highlight w:val="none"/>
          <w:lang w:val="en-US" w:eastAsia="zh-CN"/>
        </w:rPr>
        <w:t>（命题依据：《国内海洋渔船法定检验技术规则（2019）》第十一篇第1章1.3.4）</w:t>
      </w:r>
    </w:p>
    <w:bookmarkEnd w:id="10"/>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渔船磁罗经的工作原理是基于地球的磁场，所以说船上各种设备之间产生的电磁干扰反而是有益于磁罗经工作的，依据《国内海洋渔船法定检验技术规则（2019）》，不需要采取措施消除和抑制这种电磁干扰。   （×）（命题依据：《国内海洋渔船法定检验技术规则（2019）》第十一篇第1章1.3.5）</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一艘船长28.00m的海洋机动渔船，其安装的每一只航行灯都应由航行灯控制箱引出的独立分路供电，且航行灯控制箱应安装在驾驶室易于接近位置上。（√）（命题依据：《国内海洋渔船法定检验技术规则（2019）》第十二篇1.3.1）</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一艘船长23.80m沿海刺网渔船，2023年5月建造完工。依据《国内海洋渔船法定检验技术规则（2019）》，其航行灯控制箱由主配电板一路供电即可。（×）（命题依据：《国内海洋渔船法定检验技术规则（2019）》第十二篇1.3.2）</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渔船应按规定配备并显示号型，号型间的垂直距离应至少为1.5m，当渔船船长小于20m时，间距可减少为1m。（×）（命题依据：《国内海洋渔船法定检验技术规则（2019）》第十二篇2.1.4.2、2.1.4.3）</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总长大于或等于20m的机动船，其前桅灯在船体以上的高度应大于或等于6.5m，如船的宽度超过6.5m，则在船体以上的高度应大于或等于该宽度，但不必大于12m。（×）（命题依据：《国内海洋渔船法定检验技术规则（2019）》第十二篇2.3.1.1.1）</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机动船的舷灯在船体以上的高度应不超过3/4前桅灯的高度，但不应低到受甲板灯光的干扰。（√）（命题依据：《国内海洋渔船法定检验技术规则（2019）》第十二篇2.3.1.6）</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依据《国内海洋渔船法定检验技术规则（2019）》，总长小于20m的机动船舶舷灯如合并为1盏，则应装设在低于桅灯不小于1m处。（√）（命题依据：《国内海洋渔船法定检验技术规则（2019）》第十二篇2.3.1.7）</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桅顶式操纵号灯系自愿性安装的号灯。对总长大于或等于20m的渔船来说，可配也可不配。（√）（命题依据：《国内海洋渔船法定检验技术规则（2019）》第十二篇3.1）</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依据《国内海洋渔船法定检验技术规则（2019）》，总长小于24m的海洋渔船应配备5号国旗1面。（√）（命题依据：《国内海洋渔船法定检验技术规则（2019）》第十二篇4.1.1）</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凡有船舶呼号的渔船，应配有与国际信号旗相同规格的船舶呼号旗1套及国际信号规则1本。（√）（命题依据：《国内海洋渔船法定检验技术规则（2019）》第十二篇4.1.2）</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依据《国内海洋渔船法定检验技术规则（2019）》，当船长大于或等于50m时，号笛的拉手或按钮应配置双套。（√）（命题依据：《国内海洋渔船法定检验技术规则（2019）》第十二篇5.2.3）</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依据《国内海洋渔船法定检验技术规则（2019）》，船长＜30m的海洋渔船，船体、上层建筑、结构舱壁、甲板及甲板室均应以不燃材料建造。(√)  (命题依据：《国内海洋渔船法定检验技术规则（2019）》第九篇5.1.1)</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依据《国内海洋渔船法定检验技术规则（2019）》，船长＜30m的海洋渔船，易燃气体或其他危险气体的气瓶和空瓶，应存放并妥善固定于开敞甲板，任何情况下都不得存放在舱室中。(×) (命题依据：《国内海洋渔船法定检验技术规则（2019）》第九篇5.5.2)</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依据《国内海洋渔船法定检验技术规则（2019）》，船长＜30m的海洋渔船，消火栓应设在便于消防水带迅速连接的位置，且应至少能将一股水柱直接喷射到航行中船员经常到达的任何部位。(√) (命题依据：《国内海洋渔船法定检验技术规则（2019）》第九篇5.7.4.1)</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依据《国内海洋渔船法定检验技术规则（2019）》，船长＜30m的海洋渔船，每根消防水带最大长度为20m。(×) (命题依据：《国内海洋渔船法定检验技术规则（2019）》第九篇5.7.4.5)</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A3海区是指具有连续报警能力的国际海事卫星组织（INMARSAT）对地静止卫星所覆盖的区域。（×）（命题依据：《国内海洋渔船法定检验技术规则（2019）》第十三篇1.2.1.14）</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船舶在海上的任何时刻都应有足够的电力供无线电通信设备工作并为无线电通信设备备用电源部分的任何电池充电。（√）（命题依据：《国内海洋渔船法定检验技术规则（2019）》第十三篇3.1.1）</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无线电通信设备应安装在驾驶室或不低于救生艇筏甲板的专用舱室内，此专用舱室不得远离驾驶室。（×）（命题依据：《国内海洋渔船法定检验技术规则（2019）》第十三篇4.1.1）</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渔船根据布置需求，如果确实无法满足《国内海洋渔船法定检验技术规则（2019）》驾驶台视野之规定，经船舶检验机构同意，可适当降低要求或豁免。（√）（命题依据：《国内海洋渔船法定检验技术规则（2019）》第十三篇3.2.10）</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依据《国内海洋小型渔船法定检验技术规则（2019）》， 在机舱内，中内龙骨腹板的厚度应不小于肋板腹板的厚度。 (×)  (命题依据：《国内海洋小型渔船法定检验技术规则（2019）》第三章3.2.3.1)</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依据《国内海洋小型渔船法定检验技术规则（2019）》， 机舱前、后舱壁至少其中一个应为水密舱壁。 (×)  (命题依据：《国内海洋小型渔船法定检验技术规则（2019）》第三章3.2.5.2)</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依据《国内海洋小型渔船法定检验技术规则（2019）》， 防撞舱壁上设置的门必须为水密门，且航行时应保持常闭。 (×)  (命题依据：《国内海洋小型渔船法定检验技术规则（2019）》第三章3.2.5.5)</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依据《国内海洋小型渔船法定检验技术规则（2019）》， 燃油管路应采用无缝钢管、无缝退火铜管、铜镍合金管或等效性能的金属管制成，不得采用软管。 (×)  (命题依据：《国内海洋小型渔船法定检验技术规则（2019）》第三章3.3.12.2)</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依据《国内海洋小型渔船法定检验技术规则（2019）》， 主机冷却水管路排水孔的位置应当超过设计吃水。 (×)  (命题依据：《国内海洋小型渔船法定检验技术规则（2019）》第三章3.3.14.3)</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依据《国内海洋小型渔船法定检验技术规则（2019）》， 操舵装置的最大舵角应限制在30°～35°范围以内。 (×)  (命题依据：《国内海洋小型渔船法定检验技术规则（2019）》第三章3.3.22.5)</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依据《国内海洋小型渔船法定检验技术规则（2019）》， 电气设备及系统的热态绝缘电阻应大于3MΩ。 (×)  (命题依据：《国内海洋小型渔船法定检验技术规则（2019）》第三章3.4.6.1)</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依据《国内海洋小型渔船法定检验技术规则（2019）》， 海洋小型渔船每舷的连续舷墙上都应开有排水舷口，排水舷口的下缘应尽可能接近甲板。 (√)  (命题依据：《国内海洋小型渔船法定检验技术规则（2019）》第四章4.2.4.1)</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依据《国内海洋小型渔船法定检验技术规则（2019）》， 上层建筑和甲板室的外部开口（包括门、窗、盖）均应有风雨密关闭装置。 (√)  (命题依据：《国内海洋小型渔船法定检验技术规则（2019）》第四章4.2.6.3)</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依据《国内海洋小型渔船法定检验技术规则（2019）》， 船舶的吨位丈量均以 m 为计算单位，采用整数，不计小数点后的数值。 (×)  (命题依据：《国内海洋小型渔船法定检验技术规则（2019）》第四章4.4.1.3)</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依据《国内海洋渔船法定检验技术规则（2019）》，船长＜30m的海洋渔船，船体、上层建筑、结构舱壁、甲板及甲板室均应以不燃材料建造。(√)  (命题依据：《国内海洋渔船法定检验技术规则（2019）》第九篇5.1.1)</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依据《国内海洋渔船法定检验技术规则（2019）》，船长＜30m的海洋渔船，易燃气体或其他危险气体的气瓶和空瓶，应存放并妥善固定于开敞甲板，任何情况下都不得存放在舱室中。(×) (命题依据：《国内海洋渔船法定检验技术规则（2019）》第九篇5.5.2)</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依据《国内海洋渔船法定检验技术规则（2019）》，船长＜30m的海洋渔船，消火栓应设在便于消防水带迅速连接的位置，且应至少能将一股水柱直接喷射到航行中船员经常到达的任何部位。(√) (命题依据：《国内海洋渔船法定检验技术规则（2019）》第九篇5.7.4.1)</w:t>
      </w:r>
    </w:p>
    <w:p>
      <w:pPr>
        <w:keepNext w:val="0"/>
        <w:keepLines w:val="0"/>
        <w:widowControl/>
        <w:numPr>
          <w:ilvl w:val="-1"/>
          <w:numId w:val="0"/>
        </w:numPr>
        <w:suppressLineNumbers w:val="0"/>
        <w:jc w:val="left"/>
        <w:rPr>
          <w:rFonts w:hint="eastAsia"/>
          <w:szCs w:val="21"/>
          <w:rPrChange w:id="0" w:author="携手同行" w:date="2023-08-19T12:35:06Z">
            <w:rPr/>
          </w:rPrChange>
        </w:rPr>
      </w:pPr>
      <w:bookmarkStart w:id="11" w:name="_GoBack"/>
      <w:bookmarkEnd w:id="11"/>
    </w:p>
    <w:p>
      <w:pPr>
        <w:rPr>
          <w:rFonts w:hint="eastAsia"/>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27196E"/>
    <w:multiLevelType w:val="singleLevel"/>
    <w:tmpl w:val="8027196E"/>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携手同行">
    <w15:presenceInfo w15:providerId="WPS Office" w15:userId="26325309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4"/>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jMTQ0ZTExYzk0ZmQwNmE3NTAyOTRmMzJlM2M3OWYifQ=="/>
  </w:docVars>
  <w:rsids>
    <w:rsidRoot w:val="008974D8"/>
    <w:rsid w:val="000B77BB"/>
    <w:rsid w:val="000F6B0E"/>
    <w:rsid w:val="00142BEE"/>
    <w:rsid w:val="001E4D0D"/>
    <w:rsid w:val="001E64BB"/>
    <w:rsid w:val="00400439"/>
    <w:rsid w:val="004140A3"/>
    <w:rsid w:val="004F03EC"/>
    <w:rsid w:val="00582DDA"/>
    <w:rsid w:val="006858AE"/>
    <w:rsid w:val="007801EF"/>
    <w:rsid w:val="00793DC5"/>
    <w:rsid w:val="007A50A0"/>
    <w:rsid w:val="008418A9"/>
    <w:rsid w:val="008974D8"/>
    <w:rsid w:val="008B47F2"/>
    <w:rsid w:val="008D3D74"/>
    <w:rsid w:val="008E2946"/>
    <w:rsid w:val="009C67DC"/>
    <w:rsid w:val="009F545A"/>
    <w:rsid w:val="00A42220"/>
    <w:rsid w:val="00A7682C"/>
    <w:rsid w:val="00AE4E9E"/>
    <w:rsid w:val="00B430A5"/>
    <w:rsid w:val="00B75CAA"/>
    <w:rsid w:val="00B91EED"/>
    <w:rsid w:val="00BE65FB"/>
    <w:rsid w:val="00C4150E"/>
    <w:rsid w:val="00C62283"/>
    <w:rsid w:val="00D1543E"/>
    <w:rsid w:val="00D472C5"/>
    <w:rsid w:val="00D71188"/>
    <w:rsid w:val="00E26188"/>
    <w:rsid w:val="00E94E02"/>
    <w:rsid w:val="00EA3591"/>
    <w:rsid w:val="00EB2DEA"/>
    <w:rsid w:val="00F00225"/>
    <w:rsid w:val="00F22662"/>
    <w:rsid w:val="00F33A98"/>
    <w:rsid w:val="00F613DB"/>
    <w:rsid w:val="00F762F7"/>
    <w:rsid w:val="00FD3CD6"/>
    <w:rsid w:val="00FF6F78"/>
    <w:rsid w:val="0632649E"/>
    <w:rsid w:val="0A526D12"/>
    <w:rsid w:val="0DA33194"/>
    <w:rsid w:val="0E247844"/>
    <w:rsid w:val="29E34149"/>
    <w:rsid w:val="332244E2"/>
    <w:rsid w:val="34A96921"/>
    <w:rsid w:val="35031E39"/>
    <w:rsid w:val="355C4691"/>
    <w:rsid w:val="3C5D5ED0"/>
    <w:rsid w:val="45BD2508"/>
    <w:rsid w:val="46B16527"/>
    <w:rsid w:val="4BD43D2F"/>
    <w:rsid w:val="5B19355D"/>
    <w:rsid w:val="5C165D2C"/>
    <w:rsid w:val="5D1B69B6"/>
    <w:rsid w:val="5FC46BDE"/>
    <w:rsid w:val="639A2461"/>
    <w:rsid w:val="69FC4DEA"/>
    <w:rsid w:val="6D1F1309"/>
    <w:rsid w:val="727D16CC"/>
    <w:rsid w:val="79FB0EA3"/>
    <w:rsid w:val="7BC95A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99"/>
    <w:pPr>
      <w:jc w:val="left"/>
    </w:pPr>
  </w:style>
  <w:style w:type="paragraph" w:styleId="3">
    <w:name w:val="Plain Text"/>
    <w:basedOn w:val="1"/>
    <w:link w:val="14"/>
    <w:semiHidden/>
    <w:unhideWhenUsed/>
    <w:qFormat/>
    <w:uiPriority w:val="0"/>
    <w:rPr>
      <w:rFonts w:ascii="宋体" w:hAnsi="Courier New" w:eastAsiaTheme="minorEastAsia" w:cstheme="minorBidi"/>
      <w:szCs w:val="22"/>
    </w:rPr>
  </w:style>
  <w:style w:type="paragraph" w:styleId="4">
    <w:name w:val="Balloon Text"/>
    <w:basedOn w:val="1"/>
    <w:link w:val="18"/>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7"/>
    <w:semiHidden/>
    <w:unhideWhenUsed/>
    <w:qFormat/>
    <w:uiPriority w:val="99"/>
    <w:rPr>
      <w:b/>
      <w:bCs/>
    </w:rPr>
  </w:style>
  <w:style w:type="character" w:styleId="10">
    <w:name w:val="annotation reference"/>
    <w:basedOn w:val="9"/>
    <w:semiHidden/>
    <w:unhideWhenUsed/>
    <w:qFormat/>
    <w:uiPriority w:val="99"/>
    <w:rPr>
      <w:sz w:val="21"/>
      <w:szCs w:val="21"/>
    </w:rPr>
  </w:style>
  <w:style w:type="character" w:customStyle="1" w:styleId="11">
    <w:name w:val="页眉 字符"/>
    <w:basedOn w:val="9"/>
    <w:link w:val="6"/>
    <w:qFormat/>
    <w:uiPriority w:val="99"/>
    <w:rPr>
      <w:sz w:val="18"/>
      <w:szCs w:val="18"/>
    </w:rPr>
  </w:style>
  <w:style w:type="character" w:customStyle="1" w:styleId="12">
    <w:name w:val="页脚 字符"/>
    <w:basedOn w:val="9"/>
    <w:link w:val="5"/>
    <w:qFormat/>
    <w:uiPriority w:val="99"/>
    <w:rPr>
      <w:sz w:val="18"/>
      <w:szCs w:val="18"/>
    </w:rPr>
  </w:style>
  <w:style w:type="paragraph" w:styleId="13">
    <w:name w:val="List Paragraph"/>
    <w:basedOn w:val="1"/>
    <w:qFormat/>
    <w:uiPriority w:val="34"/>
    <w:pPr>
      <w:ind w:firstLine="420" w:firstLineChars="200"/>
    </w:pPr>
  </w:style>
  <w:style w:type="character" w:customStyle="1" w:styleId="14">
    <w:name w:val="纯文本 字符"/>
    <w:basedOn w:val="9"/>
    <w:link w:val="3"/>
    <w:semiHidden/>
    <w:qFormat/>
    <w:uiPriority w:val="0"/>
    <w:rPr>
      <w:rFonts w:ascii="宋体" w:hAnsi="Courier New"/>
    </w:rPr>
  </w:style>
  <w:style w:type="paragraph" w:customStyle="1" w:styleId="15">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16">
    <w:name w:val="批注文字 字符"/>
    <w:basedOn w:val="9"/>
    <w:link w:val="2"/>
    <w:qFormat/>
    <w:uiPriority w:val="99"/>
    <w:rPr>
      <w:rFonts w:ascii="Times New Roman" w:hAnsi="Times New Roman" w:eastAsia="宋体" w:cs="Times New Roman"/>
      <w:szCs w:val="24"/>
    </w:rPr>
  </w:style>
  <w:style w:type="character" w:customStyle="1" w:styleId="17">
    <w:name w:val="批注主题 字符"/>
    <w:basedOn w:val="16"/>
    <w:link w:val="7"/>
    <w:semiHidden/>
    <w:qFormat/>
    <w:uiPriority w:val="99"/>
    <w:rPr>
      <w:rFonts w:ascii="Times New Roman" w:hAnsi="Times New Roman" w:eastAsia="宋体" w:cs="Times New Roman"/>
      <w:b/>
      <w:bCs/>
      <w:szCs w:val="24"/>
    </w:rPr>
  </w:style>
  <w:style w:type="character" w:customStyle="1" w:styleId="18">
    <w:name w:val="批注框文本 字符"/>
    <w:basedOn w:val="9"/>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11026</Words>
  <Characters>12421</Characters>
  <Lines>28</Lines>
  <Paragraphs>8</Paragraphs>
  <TotalTime>2</TotalTime>
  <ScaleCrop>false</ScaleCrop>
  <LinksUpToDate>false</LinksUpToDate>
  <CharactersWithSpaces>12500</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2023-08-02T06:06:00Z</dcterms:created>
  <dc:creator>Lsy</dc:creator>
  <cp:lastModifiedBy>jsyj-ysc2</cp:lastModifiedBy>
  <dcterms:modified xsi:type="dcterms:W3CDTF">2023-10-12T09:19:41Z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47359207F75A46C596B49A92CBADF5A0_12</vt:lpwstr>
  </property>
</Properties>
</file>